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沙冬青干旱胁迫响应的转录组学特征</w:t>
      </w:r>
    </w:p>
    <w:p>
      <w:r>
        <w:rPr>
          <w:sz w:val="22"/>
        </w:rPr>
        <w:t>英文标题：Drought-response transcriptome of ammopiptanthus mongolicus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通过Hiseq2000对沙冬青叶片和根系进行高通量转录组测序，发现了44959个unigene。并通过数据库比对，对其中的43192个unigene进行功能注释。发现干旱处理下，在叶片和根中差异表达的基因（表达量上调或下调2倍以上）分别有1035个和1210个。这些差异表达的基因集中于与物质运输、胁迫响应以及代谢过程，分子结构活性等方面。鉴定出干旱胁迫下差异表达的（专一性）响应基因40个。通过对沙冬青转录因子的分析，还发现沙冬青包含50个转录因子家族，1575个转录因子。在叶片中7个转录因子表达量上升，50个下降；在根中有11上升，33个下降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沙冬青</w:t>
      </w:r>
      <w:r>
        <w:t>,</w:t>
      </w:r>
      <w:r>
        <w:rPr>
          <w:sz w:val="22"/>
        </w:rPr>
        <w:t>生理指标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3.文件大小：1.02MB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北：38.62545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西：103.10507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东：103.10507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南：38.62545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2018-11-19 10:48:30+00:00</w:t>
      </w:r>
      <w:r>
        <w:rPr>
          <w:sz w:val="22"/>
        </w:rPr>
        <w:t>--</w:t>
      </w:r>
      <w:r>
        <w:rPr>
          <w:sz w:val="22"/>
        </w:rPr>
        <w:t>2018-11-19 10:48:30+00:00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苏彦华. 沙冬青干旱胁迫响应的转录组学特征DOI:10.3972/heihe.096.2013.db, CSTR:18406.11.heihe.096.2013.db, </w:t>
      </w:r>
      <w:r>
        <w:t>2016</w:t>
      </w:r>
      <w:r>
        <w:t>.[</w:t>
      </w:r>
      <w:r>
        <w:t xml:space="preserve">SU  Yanhua. Drought-response transcriptome of ammopiptanthus mongolicusDOI:10.3972/heihe.096.2013.db, CSTR:18406.11.heihe.096.2013.db,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干旱环境下植物水分利用特征及其适应水分胁迫的分子机制研究(91125028)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苏彦华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中国科学院南京土壤研究所</w:t>
        <w:br/>
      </w:r>
      <w:r>
        <w:rPr>
          <w:sz w:val="22"/>
        </w:rPr>
        <w:t xml:space="preserve">电子邮件: </w:t>
      </w:r>
      <w:r>
        <w:rPr>
          <w:sz w:val="22"/>
        </w:rPr>
        <w:t>yhsu@issas.ac.cn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