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黑河流域各区县投入产出表（2012）</w:t>
      </w:r>
    </w:p>
    <w:p>
      <w:r>
        <w:rPr>
          <w:sz w:val="22"/>
        </w:rPr>
        <w:t>英文标题：Input-output table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2012年黑河流域11区县投入产出表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2012-01-11 21:00:00+00:00</w:t>
      </w:r>
      <w:r>
        <w:rPr>
          <w:sz w:val="22"/>
        </w:rPr>
        <w:t>--</w:t>
      </w:r>
      <w:r>
        <w:rPr>
          <w:sz w:val="22"/>
        </w:rPr>
        <w:t>2013-01-10 14:45:00+00:00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邓祥征. 黑河流域各区县投入产出表（2012）</w:t>
      </w:r>
      <w:r>
        <w:t>2015</w:t>
      </w:r>
      <w:r>
        <w:t>.[</w:t>
      </w:r>
      <w:r>
        <w:t>DENG XiangZheng. Input-output table of Heihe River basin (2012)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