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黑河生态水文遥感试验：水文气象观测网数据集（大满超级站宇宙射线土壤水分-2014）</w:t>
      </w:r>
    </w:p>
    <w:p>
      <w:r>
        <w:rPr>
          <w:sz w:val="22"/>
        </w:rPr>
        <w:t>英文标题：HiWATER: Dataset of hydrometeorological observation network (cosmic-ray soil moisture of Daman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（CRS1000B）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Time（日期时间）、P（气压hPa）、N1C（快中子数个/小时）、N1C_cor（气压订正的快中子数个/小时）和VWC（土壤体积含水量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2012）和对应时间段内的快中子校正数据N，再通过公式（1）反求得到N0。</w:t>
        <w:br/>
        <w:t xml:space="preserve"> （1）</w:t>
        <w:br/>
        <w:t>其中θm为质量含水量，N为订正后快中子数，N0为干燥条件下的快中子数，a1=0.079、a2=0.64、a3=0.37和a4=0.91为常数项。</w:t>
        <w:br/>
        <w:t>在此，根据仪器源区内的Soilnet土壤水分数据对仪器进行率定，并根据实际情况之间建立土壤体积含水量θv和快中子之间的关系，即将公式（1）中的θm换作θv处理。分别选取干湿状况差异比较明显的6月26日-6月27日和7月16日-7月17日四天的数据，其中6月26日-27日率定数据显示土壤水分较小，因此选取4厘米、10厘米和20厘米的三个值平均值作为率定数据，其变化范围为22%-30%，而7月16日-7月17日率定数据显示土壤水分较大，因此选取4厘米、10厘米的两个值平均值作为率定数据，其变化范围为28%-39%，最后平均得到crs_a和crs_b的值N0分别为3252、3597。</w:t>
        <w:br/>
        <w:t>4）</w:t>
        <w:tab/>
        <w:t>土壤水分计算</w:t>
        <w:br/>
        <w:t>根据公式（1），计算得到每小时的土壤含水量数据。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16:00:00+00:00</w:t>
      </w:r>
      <w:r>
        <w:rPr>
          <w:sz w:val="22"/>
        </w:rPr>
        <w:t>--</w:t>
      </w:r>
      <w:r>
        <w:rPr>
          <w:sz w:val="22"/>
        </w:rPr>
        <w:t>2015-01-09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黑河生态水文遥感试验：水文气象观测网数据集（大满超级站宇宙射线土壤水分-2014）DOI:10.3972/hiwater.247.2015.db, CSTR:18406.11.hiwater.247.2015.db,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2014)DOI:10.3972/hiwater.247.2015.db, CSTR:18406.11.hiwater.247.2015.db,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