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沙冬青的干旱胁迫响应特征</w:t>
      </w:r>
    </w:p>
    <w:p>
      <w:r>
        <w:rPr>
          <w:sz w:val="22"/>
        </w:rPr>
        <w:t>英文标题：Physiological response of Ammopiptanthus mongolicus to drought stress</w:t>
      </w:r>
    </w:p>
    <w:p>
      <w:r>
        <w:rPr>
          <w:sz w:val="32"/>
        </w:rPr>
        <w:t>1、摘要</w:t>
      </w:r>
    </w:p>
    <w:p>
      <w:pPr>
        <w:ind w:firstLine="432"/>
      </w:pPr>
      <w:r>
        <w:rPr>
          <w:sz w:val="22"/>
        </w:rPr>
        <w:t>通过对沙冬青根系、茎部以及叶片的组织切片观察，发现沙冬青具备高效吸收、运输和储备水分的形态学特征。通过对沙冬青生理生化的研究初步明确了干旱胁迫条件下，沙冬青通过渗透调节以适应水分胁迫生理和分子机制。通过对沙冬青在干旱条件下的生理特性研究，发现了脯氨酸积累随干旱胁迫过程的变化规律，其可能作为重要的渗透调节物质参与沙冬青适应水分胁迫的调节机制。进而克隆获得了参与沙冬青脯氨酸合成、代谢及转运过程的7个全长基因。</w:t>
      </w:r>
    </w:p>
    <w:p>
      <w:r>
        <w:rPr>
          <w:sz w:val="32"/>
        </w:rPr>
        <w:t>2、关键词</w:t>
      </w:r>
    </w:p>
    <w:p>
      <w:pPr>
        <w:ind w:left="432"/>
      </w:pPr>
      <w:r>
        <w:rPr>
          <w:sz w:val="22"/>
        </w:rPr>
        <w:t>主题关键词：</w:t>
      </w:r>
      <w:r>
        <w:rPr>
          <w:sz w:val="22"/>
        </w:rPr>
        <w:t>植被</w:t>
      </w:r>
      <w:r>
        <w:t>,</w:t>
      </w:r>
      <w:r>
        <w:rPr>
          <w:sz w:val="22"/>
        </w:rPr>
        <w:t>沙冬青</w:t>
      </w:r>
      <w:r>
        <w:t>,</w:t>
      </w:r>
      <w:r>
        <w:rPr>
          <w:sz w:val="22"/>
        </w:rPr>
        <w:t>生理指标</w:t>
        <w:br/>
      </w:r>
      <w:r>
        <w:rPr>
          <w:sz w:val="22"/>
        </w:rPr>
        <w:t>学科关键词：</w:t>
      </w:r>
      <w:r>
        <w:rPr>
          <w:sz w:val="22"/>
        </w:rPr>
        <w:t>陆地表层</w:t>
        <w:br/>
      </w:r>
      <w:r>
        <w:rPr>
          <w:sz w:val="22"/>
        </w:rPr>
        <w:t>地点关键词：</w:t>
      </w:r>
      <w:r>
        <w:rPr>
          <w:sz w:val="22"/>
        </w:rPr>
        <w:t>黑河流域</w:t>
        <w:br/>
      </w:r>
      <w:r>
        <w:rPr>
          <w:sz w:val="22"/>
        </w:rPr>
        <w:t>时间关键词：</w:t>
      </w:r>
      <w:r>
        <w:rPr>
          <w:sz w:val="22"/>
        </w:rPr>
        <w:t>2012</w:t>
      </w:r>
    </w:p>
    <w:p>
      <w:r>
        <w:rPr>
          <w:sz w:val="32"/>
        </w:rPr>
        <w:t>3、数据细节</w:t>
      </w:r>
    </w:p>
    <w:p>
      <w:pPr>
        <w:ind w:left="432"/>
      </w:pPr>
      <w:r>
        <w:rPr>
          <w:sz w:val="22"/>
        </w:rPr>
        <w:t>1.比例尺：None</w:t>
      </w:r>
    </w:p>
    <w:p>
      <w:pPr>
        <w:ind w:left="432"/>
      </w:pPr>
      <w:r>
        <w:rPr>
          <w:sz w:val="22"/>
        </w:rPr>
        <w:t>2.投影：4326</w:t>
      </w:r>
    </w:p>
    <w:p>
      <w:pPr>
        <w:ind w:left="432"/>
      </w:pPr>
      <w:r>
        <w:rPr>
          <w:sz w:val="22"/>
        </w:rPr>
        <w:t>3.文件大小：1.69MB</w:t>
      </w:r>
    </w:p>
    <w:p>
      <w:pPr>
        <w:ind w:left="432"/>
      </w:pPr>
      <w:r>
        <w:rPr>
          <w:sz w:val="22"/>
        </w:rPr>
        <w:t>4.数据格式：PDF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北：38.62545</w:t>
            </w:r>
          </w:p>
        </w:tc>
        <w:tc>
          <w:tcPr>
            <w:tcW w:type="dxa" w:w="2880"/>
          </w:tcPr>
          <w:p>
            <w:r>
              <w:t>-</w:t>
            </w:r>
          </w:p>
        </w:tc>
      </w:tr>
      <w:tr>
        <w:tc>
          <w:tcPr>
            <w:tcW w:type="dxa" w:w="2880"/>
          </w:tcPr>
          <w:p>
            <w:r>
              <w:t>西：103.10507</w:t>
            </w:r>
          </w:p>
        </w:tc>
        <w:tc>
          <w:tcPr>
            <w:tcW w:type="dxa" w:w="2880"/>
          </w:tcPr>
          <w:p>
            <w:r>
              <w:t>-</w:t>
            </w:r>
          </w:p>
        </w:tc>
        <w:tc>
          <w:tcPr>
            <w:tcW w:type="dxa" w:w="2880"/>
          </w:tcPr>
          <w:p>
            <w:r>
              <w:t>东：103.10507</w:t>
            </w:r>
          </w:p>
        </w:tc>
      </w:tr>
      <w:tr>
        <w:tc>
          <w:tcPr>
            <w:tcW w:type="dxa" w:w="2880"/>
          </w:tcPr>
          <w:p>
            <w:r>
              <w:t>-</w:t>
            </w:r>
          </w:p>
        </w:tc>
        <w:tc>
          <w:tcPr>
            <w:tcW w:type="dxa" w:w="2880"/>
          </w:tcPr>
          <w:p>
            <w:r>
              <w:t>南：38.62545</w:t>
            </w:r>
          </w:p>
        </w:tc>
        <w:tc>
          <w:tcPr>
            <w:tcW w:type="dxa" w:w="2880"/>
          </w:tcPr>
          <w:p>
            <w:r>
              <w:t>-</w:t>
            </w:r>
          </w:p>
        </w:tc>
      </w:tr>
    </w:tbl>
    <w:p>
      <w:r>
        <w:rPr>
          <w:sz w:val="32"/>
        </w:rPr>
        <w:t>5、时间范围</w:t>
      </w:r>
      <w:r>
        <w:rPr>
          <w:sz w:val="22"/>
        </w:rPr>
        <w:t>2013-01-06 19:14:00+00:00</w:t>
      </w:r>
      <w:r>
        <w:rPr>
          <w:sz w:val="22"/>
        </w:rPr>
        <w:t>--</w:t>
      </w:r>
      <w:r>
        <w:rPr>
          <w:sz w:val="22"/>
        </w:rPr>
        <w:t>2016-01-05 19:15:00+00:00</w:t>
      </w:r>
    </w:p>
    <w:p>
      <w:r>
        <w:rPr>
          <w:sz w:val="32"/>
        </w:rPr>
        <w:t>6、引用方式</w:t>
      </w:r>
    </w:p>
    <w:p>
      <w:pPr>
        <w:ind w:left="432"/>
      </w:pPr>
      <w:r>
        <w:rPr>
          <w:sz w:val="22"/>
        </w:rPr>
        <w:t xml:space="preserve">数据的引用: </w:t>
      </w:r>
    </w:p>
    <w:p>
      <w:pPr>
        <w:ind w:left="432" w:firstLine="432"/>
      </w:pPr>
      <w:r>
        <w:t xml:space="preserve">苏彦华. 沙冬青的干旱胁迫响应特征DOI:10.11888/Terre.tpdc.272677, CSTR:18406.11.Terre.tpdc.272677, </w:t>
      </w:r>
      <w:r>
        <w:t>2016</w:t>
      </w:r>
      <w:r>
        <w:t>.[</w:t>
      </w:r>
      <w:r>
        <w:t xml:space="preserve">SU  Yanhua. Physiological response of Ammopiptanthus mongolicus to drought stressDOI:10.11888/Terre.tpdc.272677, CSTR:18406.11.Terre.tpdc.272677, </w:t>
      </w:r>
      <w:r>
        <w:t>2016</w:t>
      </w:r>
      <w:r>
        <w:rPr>
          <w:sz w:val="22"/>
        </w:rPr>
        <w:t>]</w:t>
      </w:r>
    </w:p>
    <w:p>
      <w:pPr>
        <w:ind w:left="432"/>
      </w:pPr>
      <w:r>
        <w:rPr>
          <w:sz w:val="22"/>
        </w:rPr>
        <w:t xml:space="preserve">文章的引用: </w:t>
      </w:r>
    </w:p>
    <w:p>
      <w:pPr>
        <w:ind w:left="864"/>
      </w:pPr>
    </w:p>
    <w:p>
      <w:r>
        <w:rPr>
          <w:sz w:val="32"/>
        </w:rPr>
        <w:t>7、资助项目信息</w:t>
      </w:r>
    </w:p>
    <w:p>
      <w:pPr>
        <w:ind w:left="432"/>
      </w:pPr>
      <w:r>
        <w:rPr>
          <w:sz w:val="22"/>
        </w:rPr>
        <w:t>干旱环境下植物水分利用特征及其适应水分胁迫的分子机制研究(91125028)</w:t>
        <w:br/>
      </w:r>
    </w:p>
    <w:p>
      <w:r>
        <w:rPr>
          <w:sz w:val="32"/>
        </w:rPr>
        <w:t>8、数据资源提供者</w:t>
      </w:r>
    </w:p>
    <w:p>
      <w:pPr>
        <w:ind w:left="432"/>
      </w:pPr>
      <w:r>
        <w:rPr>
          <w:sz w:val="22"/>
        </w:rPr>
        <w:t xml:space="preserve">姓名: </w:t>
      </w:r>
      <w:r>
        <w:rPr>
          <w:sz w:val="22"/>
        </w:rPr>
        <w:t>苏彦华</w:t>
        <w:br/>
      </w:r>
      <w:r>
        <w:rPr>
          <w:sz w:val="22"/>
        </w:rPr>
        <w:t xml:space="preserve">单位: </w:t>
      </w:r>
      <w:r>
        <w:rPr>
          <w:sz w:val="22"/>
        </w:rPr>
        <w:t>中国科学院南京土壤研究所</w:t>
        <w:br/>
      </w:r>
      <w:r>
        <w:rPr>
          <w:sz w:val="22"/>
        </w:rPr>
        <w:t xml:space="preserve">电子邮件: </w:t>
      </w:r>
      <w:r>
        <w:rPr>
          <w:sz w:val="22"/>
        </w:rPr>
        <w:t>yhsu@issas.ac.cn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