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黑河流域中游土地利用/土地覆被数据集（2011）</w:t>
      </w:r>
    </w:p>
    <w:p>
      <w:r>
        <w:rPr>
          <w:sz w:val="22"/>
        </w:rPr>
        <w:t>英文标题：Landuse/landcover dataset in the middle reaches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</w:t>
        <w:br/>
        <w:t>该数据集所包括的内容主要是黑河流域中游1:10万土地利用图形数据和属性数据。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3.文件大小：106.0MB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02:48:23+00:00</w:t>
      </w:r>
      <w:r>
        <w:rPr>
          <w:sz w:val="22"/>
        </w:rPr>
        <w:t>--</w:t>
      </w:r>
      <w:r>
        <w:rPr>
          <w:sz w:val="22"/>
        </w:rPr>
        <w:t>2018-11-20 02:48:23+00:00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黑河流域中游土地利用/土地覆被数据集（2011）DOI:10.11888/Socioeco.tpdc.270812, CSTR:18406.11.Socioeco.tpdc.270812, </w:t>
      </w:r>
      <w:r>
        <w:t>2014</w:t>
      </w:r>
      <w:r>
        <w:t>.[</w:t>
      </w:r>
      <w:r>
        <w:t xml:space="preserve">WANG Jianhua. Landuse/landcover dataset in the middle reaches of the Heihe River Basin (2011)DOI:10.11888/Socioeco.tpdc.270812, CSTR:18406.11.Socioeco.tpdc.270812,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